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02C1" w14:textId="5EDA026A" w:rsidR="00A149C8" w:rsidRDefault="00704595" w:rsidP="00704595">
      <w:pPr>
        <w:jc w:val="center"/>
        <w:rPr>
          <w:rFonts w:ascii="Times New Roman"/>
          <w:b/>
          <w:sz w:val="24"/>
          <w:szCs w:val="24"/>
        </w:rPr>
      </w:pPr>
      <w:r w:rsidRPr="00704595">
        <w:rPr>
          <w:rFonts w:ascii="Times New Roman" w:hint="eastAsia"/>
          <w:b/>
          <w:sz w:val="24"/>
          <w:szCs w:val="24"/>
        </w:rPr>
        <w:t>上海电力大学临港校区三期工程项目卫生学</w:t>
      </w:r>
      <w:proofErr w:type="gramStart"/>
      <w:r w:rsidRPr="00704595">
        <w:rPr>
          <w:rFonts w:ascii="Times New Roman" w:hint="eastAsia"/>
          <w:b/>
          <w:sz w:val="24"/>
          <w:szCs w:val="24"/>
        </w:rPr>
        <w:t>预评价</w:t>
      </w:r>
      <w:proofErr w:type="gramEnd"/>
      <w:r w:rsidRPr="00704595">
        <w:rPr>
          <w:rFonts w:ascii="Times New Roman" w:hint="eastAsia"/>
          <w:b/>
          <w:sz w:val="24"/>
          <w:szCs w:val="24"/>
        </w:rPr>
        <w:t>编制服务</w:t>
      </w:r>
      <w:r>
        <w:rPr>
          <w:rFonts w:ascii="Times New Roman" w:hint="eastAsia"/>
          <w:b/>
          <w:sz w:val="24"/>
          <w:szCs w:val="24"/>
        </w:rPr>
        <w:t>技术参数</w:t>
      </w:r>
    </w:p>
    <w:p w14:paraId="7CA29A8C" w14:textId="74210FB3" w:rsidR="001B0C63" w:rsidRPr="00A149C8" w:rsidRDefault="001B0C63" w:rsidP="00232149">
      <w:pPr>
        <w:jc w:val="left"/>
        <w:rPr>
          <w:rFonts w:ascii="Times New Roman" w:hAnsi="Times New Roman" w:hint="eastAsia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7629"/>
      </w:tblGrid>
      <w:tr w:rsidR="001B0C63" w:rsidRPr="00A149C8" w14:paraId="0ECF4701" w14:textId="77777777" w:rsidTr="00C7738A">
        <w:tc>
          <w:tcPr>
            <w:tcW w:w="675" w:type="dxa"/>
            <w:vAlign w:val="center"/>
          </w:tcPr>
          <w:p w14:paraId="050FF78E" w14:textId="77777777" w:rsidR="001B0C63" w:rsidRPr="00A149C8" w:rsidRDefault="001B0C63" w:rsidP="00C7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C8">
              <w:rPr>
                <w:rFonts w:asci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7847" w:type="dxa"/>
            <w:vAlign w:val="center"/>
          </w:tcPr>
          <w:p w14:paraId="5098BE74" w14:textId="77777777" w:rsidR="001B0C63" w:rsidRPr="00A149C8" w:rsidRDefault="001B0C63" w:rsidP="00C7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9C8">
              <w:rPr>
                <w:rFonts w:ascii="Times New Roman"/>
                <w:b/>
                <w:sz w:val="24"/>
                <w:szCs w:val="24"/>
              </w:rPr>
              <w:t>服务需求</w:t>
            </w:r>
          </w:p>
        </w:tc>
      </w:tr>
      <w:tr w:rsidR="001B0C63" w:rsidRPr="00A149C8" w14:paraId="57AAF262" w14:textId="77777777" w:rsidTr="0042161F">
        <w:trPr>
          <w:trHeight w:val="4569"/>
        </w:trPr>
        <w:tc>
          <w:tcPr>
            <w:tcW w:w="675" w:type="dxa"/>
            <w:vAlign w:val="center"/>
          </w:tcPr>
          <w:p w14:paraId="40E3A331" w14:textId="77777777" w:rsidR="001B0C63" w:rsidRPr="00A149C8" w:rsidRDefault="001B0C63" w:rsidP="00C773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7" w:type="dxa"/>
          </w:tcPr>
          <w:p w14:paraId="77F8609F" w14:textId="77777777" w:rsidR="00CE2381" w:rsidRPr="003000EE" w:rsidRDefault="00CE2381" w:rsidP="00CE2381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b/>
                <w:szCs w:val="21"/>
              </w:rPr>
            </w:pPr>
            <w:r w:rsidRPr="00CE2381">
              <w:rPr>
                <w:rFonts w:ascii="仿宋" w:eastAsia="仿宋" w:hAnsi="仿宋" w:cs="Microsoft JhengHei"/>
                <w:szCs w:val="21"/>
              </w:rPr>
              <w:t xml:space="preserve"> </w:t>
            </w: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一、项目概况</w:t>
            </w:r>
          </w:p>
          <w:p w14:paraId="029A6694" w14:textId="220F72AA" w:rsidR="00B87730" w:rsidRDefault="002D42A4" w:rsidP="00B87730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2D42A4">
              <w:rPr>
                <w:rFonts w:ascii="仿宋" w:eastAsia="仿宋" w:hAnsi="仿宋" w:cs="Microsoft JhengHei" w:hint="eastAsia"/>
                <w:szCs w:val="21"/>
              </w:rPr>
              <w:t>上海电力大学</w:t>
            </w:r>
            <w:r w:rsidR="001F199A">
              <w:rPr>
                <w:rFonts w:ascii="仿宋" w:eastAsia="仿宋" w:hAnsi="仿宋" w:cs="Microsoft JhengHei" w:hint="eastAsia"/>
                <w:szCs w:val="21"/>
              </w:rPr>
              <w:t>临港校区三期工程项目</w:t>
            </w:r>
            <w:r w:rsidR="001F199A" w:rsidRPr="001F199A">
              <w:rPr>
                <w:rFonts w:ascii="仿宋" w:eastAsia="仿宋" w:hAnsi="仿宋" w:cs="Microsoft JhengHei" w:hint="eastAsia"/>
                <w:szCs w:val="21"/>
              </w:rPr>
              <w:t>用地面积 26600 平方米，</w:t>
            </w:r>
            <w:r w:rsidR="00B87730">
              <w:rPr>
                <w:rFonts w:ascii="仿宋" w:eastAsia="仿宋" w:hAnsi="仿宋" w:cs="Microsoft JhengHei"/>
                <w:szCs w:val="21"/>
              </w:rPr>
              <w:t xml:space="preserve"> </w:t>
            </w:r>
          </w:p>
          <w:p w14:paraId="0E9F9B17" w14:textId="6E62EFA5" w:rsidR="00EA6547" w:rsidRPr="00EA6547" w:rsidRDefault="001F199A" w:rsidP="001F199A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新建建筑面积 </w:t>
            </w:r>
            <w:r w:rsidR="00B87730">
              <w:rPr>
                <w:rFonts w:ascii="仿宋" w:eastAsia="仿宋" w:hAnsi="仿宋" w:cs="Microsoft JhengHei"/>
                <w:szCs w:val="21"/>
              </w:rPr>
              <w:t>77855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平方米，其中地上建筑面积 68000 平方米，地下建筑面积</w:t>
            </w:r>
            <w:r w:rsidR="00B87730">
              <w:rPr>
                <w:rFonts w:ascii="仿宋" w:eastAsia="仿宋" w:hAnsi="仿宋" w:cs="Microsoft JhengHei"/>
                <w:szCs w:val="21"/>
              </w:rPr>
              <w:t>9855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平方米。本项目拟建电力科技大楼、学生公寓、地下车库（兼做民防 7825 平方米）、变配电站及室外总体。其中： 电力科技大楼新建电力科技大楼位于 01-01B 地块，用地面积 19685 平方米，建筑面积5</w:t>
            </w:r>
            <w:r w:rsidR="00B87730">
              <w:rPr>
                <w:rFonts w:ascii="仿宋" w:eastAsia="仿宋" w:hAnsi="仿宋" w:cs="Microsoft JhengHei"/>
                <w:szCs w:val="21"/>
              </w:rPr>
              <w:t>1984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平方米，地上建筑面积 </w:t>
            </w:r>
            <w:r>
              <w:rPr>
                <w:rFonts w:ascii="仿宋" w:eastAsia="仿宋" w:hAnsi="仿宋" w:cs="Microsoft JhengHei"/>
                <w:szCs w:val="21"/>
              </w:rPr>
              <w:t>44200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平方米，地下建筑面积 </w:t>
            </w:r>
            <w:r w:rsidR="00B87730">
              <w:rPr>
                <w:rFonts w:ascii="仿宋" w:eastAsia="仿宋" w:hAnsi="仿宋" w:cs="Microsoft JhengHei"/>
                <w:szCs w:val="21"/>
              </w:rPr>
              <w:t>7784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平方米；内设一座 10kV </w:t>
            </w:r>
            <w:proofErr w:type="gramStart"/>
            <w:r w:rsidRPr="001F199A">
              <w:rPr>
                <w:rFonts w:ascii="仿宋" w:eastAsia="仿宋" w:hAnsi="仿宋" w:cs="Microsoft JhengHei" w:hint="eastAsia"/>
                <w:szCs w:val="21"/>
              </w:rPr>
              <w:t>分变站</w:t>
            </w:r>
            <w:proofErr w:type="gramEnd"/>
            <w:r w:rsidRPr="001F199A">
              <w:rPr>
                <w:rFonts w:ascii="仿宋" w:eastAsia="仿宋" w:hAnsi="仿宋" w:cs="Microsoft JhengHei" w:hint="eastAsia"/>
                <w:szCs w:val="21"/>
              </w:rPr>
              <w:t>。新建学生公寓位于 01-01C 地块，用地面积 6915 平方米，建筑面积</w:t>
            </w:r>
            <w:r>
              <w:rPr>
                <w:rFonts w:ascii="仿宋" w:eastAsia="仿宋" w:hAnsi="仿宋" w:cs="Microsoft JhengHei"/>
                <w:szCs w:val="21"/>
              </w:rPr>
              <w:t>25871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>平方米，地上建筑面积</w:t>
            </w:r>
            <w:r>
              <w:rPr>
                <w:rFonts w:ascii="仿宋" w:eastAsia="仿宋" w:hAnsi="仿宋" w:cs="Microsoft JhengHei" w:hint="eastAsia"/>
                <w:szCs w:val="21"/>
              </w:rPr>
              <w:t xml:space="preserve"> 2</w:t>
            </w:r>
            <w:r>
              <w:rPr>
                <w:rFonts w:ascii="仿宋" w:eastAsia="仿宋" w:hAnsi="仿宋" w:cs="Microsoft JhengHei"/>
                <w:szCs w:val="21"/>
              </w:rPr>
              <w:t>3800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>平方米，地下建筑面积</w:t>
            </w:r>
            <w:r>
              <w:rPr>
                <w:rFonts w:ascii="仿宋" w:eastAsia="仿宋" w:hAnsi="仿宋" w:cs="Microsoft JhengHei"/>
                <w:szCs w:val="21"/>
              </w:rPr>
              <w:t>2071</w:t>
            </w:r>
            <w:r>
              <w:rPr>
                <w:rFonts w:ascii="仿宋" w:eastAsia="仿宋" w:hAnsi="仿宋" w:cs="Microsoft JhengHei" w:hint="eastAsia"/>
                <w:szCs w:val="21"/>
              </w:rPr>
              <w:t>平方米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。经估算，本项目总投资为 </w:t>
            </w:r>
            <w:r w:rsidR="00B87730">
              <w:rPr>
                <w:rFonts w:ascii="仿宋" w:eastAsia="仿宋" w:hAnsi="仿宋" w:cs="Microsoft JhengHei"/>
                <w:szCs w:val="21"/>
              </w:rPr>
              <w:t>63523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万元，其中建筑安装工程费 </w:t>
            </w:r>
            <w:r w:rsidR="00B87730">
              <w:rPr>
                <w:rFonts w:ascii="仿宋" w:eastAsia="仿宋" w:hAnsi="仿宋" w:cs="Microsoft JhengHei"/>
                <w:szCs w:val="21"/>
              </w:rPr>
              <w:t>56554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万元，工程建设其他费 </w:t>
            </w:r>
            <w:r w:rsidR="00B87730">
              <w:rPr>
                <w:rFonts w:ascii="仿宋" w:eastAsia="仿宋" w:hAnsi="仿宋" w:cs="Microsoft JhengHei"/>
                <w:szCs w:val="21"/>
              </w:rPr>
              <w:t>3944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 万元，预备费 </w:t>
            </w:r>
            <w:r>
              <w:rPr>
                <w:rFonts w:ascii="仿宋" w:eastAsia="仿宋" w:hAnsi="仿宋" w:cs="Microsoft JhengHei"/>
                <w:szCs w:val="21"/>
              </w:rPr>
              <w:t>3</w:t>
            </w:r>
            <w:r w:rsidR="00B87730">
              <w:rPr>
                <w:rFonts w:ascii="仿宋" w:eastAsia="仿宋" w:hAnsi="仿宋" w:cs="Microsoft JhengHei"/>
                <w:szCs w:val="21"/>
              </w:rPr>
              <w:t>025</w:t>
            </w:r>
            <w:r w:rsidRPr="001F199A">
              <w:rPr>
                <w:rFonts w:ascii="仿宋" w:eastAsia="仿宋" w:hAnsi="仿宋" w:cs="Microsoft JhengHei" w:hint="eastAsia"/>
                <w:szCs w:val="21"/>
              </w:rPr>
              <w:t xml:space="preserve">万元。项目所需资金由市级建设财力统筹安排。 </w:t>
            </w:r>
            <w:r w:rsidRPr="001F199A">
              <w:rPr>
                <w:rFonts w:ascii="仿宋" w:eastAsia="仿宋" w:hAnsi="仿宋" w:cs="Microsoft JhengHei"/>
                <w:szCs w:val="21"/>
              </w:rPr>
              <w:cr/>
            </w:r>
            <w:r w:rsidR="003000EE" w:rsidRPr="003000EE">
              <w:rPr>
                <w:rFonts w:ascii="仿宋" w:eastAsia="仿宋" w:hAnsi="仿宋" w:cs="Microsoft JhengHei" w:hint="eastAsia"/>
                <w:b/>
                <w:szCs w:val="21"/>
              </w:rPr>
              <w:t>二、</w:t>
            </w:r>
            <w:r w:rsidR="003000EE" w:rsidRPr="000C1EFB">
              <w:rPr>
                <w:rFonts w:hint="eastAsia"/>
                <w:b/>
              </w:rPr>
              <w:t>项目内容及服务要求</w:t>
            </w:r>
          </w:p>
          <w:p w14:paraId="1C0D876A" w14:textId="797A2835" w:rsidR="00CE2381" w:rsidRPr="00CE2381" w:rsidRDefault="00EA6547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EA6547">
              <w:rPr>
                <w:rFonts w:ascii="仿宋" w:eastAsia="仿宋" w:hAnsi="仿宋" w:cs="Microsoft JhengHei" w:hint="eastAsia"/>
                <w:szCs w:val="21"/>
              </w:rPr>
              <w:t>现因项目</w:t>
            </w:r>
            <w:r w:rsidR="001F199A">
              <w:rPr>
                <w:rFonts w:ascii="仿宋" w:eastAsia="仿宋" w:hAnsi="仿宋" w:cs="Microsoft JhengHei" w:hint="eastAsia"/>
                <w:szCs w:val="21"/>
              </w:rPr>
              <w:t>申报</w:t>
            </w:r>
            <w:r w:rsidRPr="00EA6547">
              <w:rPr>
                <w:rFonts w:ascii="仿宋" w:eastAsia="仿宋" w:hAnsi="仿宋" w:cs="Microsoft JhengHei" w:hint="eastAsia"/>
                <w:szCs w:val="21"/>
              </w:rPr>
              <w:t>需要，须有相关资质单位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（</w:t>
            </w:r>
            <w:r w:rsidR="00FC5FCC" w:rsidRPr="00FC5FCC">
              <w:rPr>
                <w:rFonts w:ascii="仿宋" w:eastAsia="仿宋" w:hAnsi="仿宋" w:cs="Microsoft JhengHei" w:hint="eastAsia"/>
                <w:szCs w:val="21"/>
              </w:rPr>
              <w:t>上海市卫生和计划生育委员会2015年《上海市公共场所卫生技术服务机构》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）</w:t>
            </w:r>
            <w:r w:rsidRPr="00EA6547">
              <w:rPr>
                <w:rFonts w:ascii="仿宋" w:eastAsia="仿宋" w:hAnsi="仿宋" w:cs="Microsoft JhengHei" w:hint="eastAsia"/>
                <w:szCs w:val="21"/>
              </w:rPr>
              <w:t>提供</w:t>
            </w:r>
            <w:r w:rsidR="00176401" w:rsidRPr="00176401">
              <w:rPr>
                <w:rFonts w:ascii="仿宋" w:eastAsia="仿宋" w:hAnsi="仿宋" w:cs="Microsoft JhengHei" w:hint="eastAsia"/>
                <w:szCs w:val="21"/>
              </w:rPr>
              <w:t>卫生学</w:t>
            </w:r>
            <w:proofErr w:type="gramStart"/>
            <w:r w:rsidR="00176401" w:rsidRPr="00176401">
              <w:rPr>
                <w:rFonts w:ascii="仿宋" w:eastAsia="仿宋" w:hAnsi="仿宋" w:cs="Microsoft JhengHei" w:hint="eastAsia"/>
                <w:szCs w:val="21"/>
              </w:rPr>
              <w:t>预评价</w:t>
            </w:r>
            <w:proofErr w:type="gramEnd"/>
            <w:r w:rsidR="00176401" w:rsidRPr="00176401">
              <w:rPr>
                <w:rFonts w:ascii="仿宋" w:eastAsia="仿宋" w:hAnsi="仿宋" w:cs="Microsoft JhengHei" w:hint="eastAsia"/>
                <w:szCs w:val="21"/>
              </w:rPr>
              <w:t>编制服务</w:t>
            </w:r>
            <w:r w:rsidRPr="00EA6547">
              <w:rPr>
                <w:rFonts w:ascii="仿宋" w:eastAsia="仿宋" w:hAnsi="仿宋" w:cs="Microsoft JhengHei" w:hint="eastAsia"/>
                <w:szCs w:val="21"/>
              </w:rPr>
              <w:t>，</w:t>
            </w:r>
            <w:r w:rsidR="003000EE">
              <w:rPr>
                <w:rFonts w:ascii="仿宋" w:eastAsia="仿宋" w:hAnsi="仿宋" w:cs="Microsoft JhengHei" w:hint="eastAsia"/>
                <w:szCs w:val="21"/>
              </w:rPr>
              <w:t>根据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项目实际情况编制符合国家及上海市有关规定的</w:t>
            </w:r>
            <w:r w:rsidR="00176401" w:rsidRPr="00176401">
              <w:rPr>
                <w:rFonts w:ascii="仿宋" w:eastAsia="仿宋" w:hAnsi="仿宋" w:cs="Microsoft JhengHei" w:hint="eastAsia"/>
                <w:szCs w:val="21"/>
              </w:rPr>
              <w:t>卫生学预评价</w:t>
            </w:r>
            <w:r w:rsidR="00176401">
              <w:rPr>
                <w:rFonts w:ascii="仿宋" w:eastAsia="仿宋" w:hAnsi="仿宋" w:cs="Microsoft JhengHei" w:hint="eastAsia"/>
                <w:szCs w:val="21"/>
              </w:rPr>
              <w:t>报告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，并通过专家评审</w:t>
            </w:r>
            <w:r w:rsidR="005672DA">
              <w:rPr>
                <w:rFonts w:ascii="仿宋" w:eastAsia="仿宋" w:hAnsi="仿宋" w:cs="Microsoft JhengHei" w:hint="eastAsia"/>
                <w:szCs w:val="21"/>
              </w:rPr>
              <w:t>，</w:t>
            </w:r>
            <w:r w:rsidR="005672DA" w:rsidRPr="005672DA">
              <w:rPr>
                <w:rFonts w:ascii="仿宋" w:eastAsia="仿宋" w:hAnsi="仿宋" w:cs="Microsoft JhengHei" w:hint="eastAsia"/>
                <w:szCs w:val="21"/>
              </w:rPr>
              <w:t>在可</w:t>
            </w:r>
            <w:proofErr w:type="gramStart"/>
            <w:r w:rsidR="005672DA" w:rsidRPr="005672DA">
              <w:rPr>
                <w:rFonts w:ascii="仿宋" w:eastAsia="仿宋" w:hAnsi="仿宋" w:cs="Microsoft JhengHei" w:hint="eastAsia"/>
                <w:szCs w:val="21"/>
              </w:rPr>
              <w:t>研</w:t>
            </w:r>
            <w:proofErr w:type="gramEnd"/>
            <w:r w:rsidR="005672DA" w:rsidRPr="005672DA">
              <w:rPr>
                <w:rFonts w:ascii="仿宋" w:eastAsia="仿宋" w:hAnsi="仿宋" w:cs="Microsoft JhengHei" w:hint="eastAsia"/>
                <w:szCs w:val="21"/>
              </w:rPr>
              <w:t>批复前获得</w:t>
            </w:r>
            <w:r w:rsidR="005A4754" w:rsidRPr="005A4754">
              <w:rPr>
                <w:rFonts w:ascii="仿宋" w:eastAsia="仿宋" w:hAnsi="仿宋" w:cs="Microsoft JhengHei" w:hint="eastAsia"/>
                <w:szCs w:val="21"/>
              </w:rPr>
              <w:t>卫生学</w:t>
            </w:r>
            <w:proofErr w:type="gramStart"/>
            <w:r w:rsidR="005A4754" w:rsidRPr="005A4754">
              <w:rPr>
                <w:rFonts w:ascii="仿宋" w:eastAsia="仿宋" w:hAnsi="仿宋" w:cs="Microsoft JhengHei" w:hint="eastAsia"/>
                <w:szCs w:val="21"/>
              </w:rPr>
              <w:t>预评价</w:t>
            </w:r>
            <w:proofErr w:type="gramEnd"/>
            <w:r w:rsidR="005672DA" w:rsidRPr="005672DA">
              <w:rPr>
                <w:rFonts w:ascii="仿宋" w:eastAsia="仿宋" w:hAnsi="仿宋" w:cs="Microsoft JhengHei" w:hint="eastAsia"/>
                <w:szCs w:val="21"/>
              </w:rPr>
              <w:t>意见</w:t>
            </w:r>
            <w:r w:rsidR="00CF57DD">
              <w:rPr>
                <w:rFonts w:ascii="仿宋" w:eastAsia="仿宋" w:hAnsi="仿宋" w:cs="Microsoft JhengHei" w:hint="eastAsia"/>
                <w:szCs w:val="21"/>
              </w:rPr>
              <w:t>。</w:t>
            </w:r>
            <w:r w:rsidR="003000EE">
              <w:rPr>
                <w:rFonts w:ascii="仿宋" w:eastAsia="仿宋" w:hAnsi="仿宋" w:cs="Microsoft JhengHei" w:hint="eastAsia"/>
                <w:szCs w:val="21"/>
              </w:rPr>
              <w:t>以及协助建设方与政府相关部门沟通协调，</w:t>
            </w:r>
            <w:r w:rsidR="00CF57DD">
              <w:rPr>
                <w:rFonts w:ascii="仿宋" w:eastAsia="仿宋" w:hAnsi="仿宋" w:cs="Microsoft JhengHei" w:hint="eastAsia"/>
                <w:szCs w:val="21"/>
              </w:rPr>
              <w:t>完成</w:t>
            </w:r>
            <w:r w:rsidR="005A4754" w:rsidRPr="005A4754">
              <w:rPr>
                <w:rFonts w:ascii="仿宋" w:eastAsia="仿宋" w:hAnsi="仿宋" w:cs="Microsoft JhengHei" w:hint="eastAsia"/>
                <w:szCs w:val="21"/>
              </w:rPr>
              <w:t>卫生学</w:t>
            </w:r>
            <w:proofErr w:type="gramStart"/>
            <w:r w:rsidR="005A4754" w:rsidRPr="005A4754">
              <w:rPr>
                <w:rFonts w:ascii="仿宋" w:eastAsia="仿宋" w:hAnsi="仿宋" w:cs="Microsoft JhengHei" w:hint="eastAsia"/>
                <w:szCs w:val="21"/>
              </w:rPr>
              <w:t>预评价</w:t>
            </w:r>
            <w:proofErr w:type="gramEnd"/>
            <w:r w:rsidR="005A4754">
              <w:rPr>
                <w:rFonts w:ascii="仿宋" w:eastAsia="仿宋" w:hAnsi="仿宋" w:cs="Microsoft JhengHei" w:hint="eastAsia"/>
                <w:szCs w:val="21"/>
              </w:rPr>
              <w:t>审查意见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4E10C0FA" w14:textId="336444A8" w:rsidR="00CE2381" w:rsidRPr="00CE2381" w:rsidRDefault="00B04819" w:rsidP="00CE2381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B04819">
              <w:rPr>
                <w:rFonts w:ascii="仿宋" w:eastAsia="仿宋" w:hAnsi="仿宋" w:cs="Microsoft JhengHei" w:hint="eastAsia"/>
                <w:szCs w:val="21"/>
              </w:rPr>
              <w:t>卫生学预评价</w:t>
            </w:r>
            <w:r w:rsidR="00C754D0" w:rsidRPr="00C754D0">
              <w:rPr>
                <w:rFonts w:ascii="仿宋" w:eastAsia="仿宋" w:hAnsi="仿宋" w:cs="Microsoft JhengHei" w:hint="eastAsia"/>
                <w:szCs w:val="21"/>
              </w:rPr>
              <w:t>报告</w:t>
            </w:r>
            <w:r w:rsidR="001F199A">
              <w:rPr>
                <w:rFonts w:ascii="仿宋" w:eastAsia="仿宋" w:hAnsi="仿宋" w:cs="Microsoft JhengHei" w:hint="eastAsia"/>
                <w:szCs w:val="21"/>
              </w:rPr>
              <w:t>编制服务费</w:t>
            </w:r>
            <w:r w:rsidR="00CE2381" w:rsidRPr="00CE2381">
              <w:rPr>
                <w:rFonts w:ascii="仿宋" w:eastAsia="仿宋" w:hAnsi="仿宋" w:cs="Microsoft JhengHei" w:hint="eastAsia"/>
                <w:szCs w:val="21"/>
              </w:rPr>
              <w:t>预算：</w:t>
            </w:r>
            <w:r w:rsidR="005A4754">
              <w:rPr>
                <w:rFonts w:ascii="仿宋" w:eastAsia="仿宋" w:hAnsi="仿宋" w:cs="Microsoft JhengHei"/>
                <w:szCs w:val="21"/>
              </w:rPr>
              <w:t>20</w:t>
            </w:r>
            <w:r w:rsidR="00CE2381" w:rsidRPr="00CE2381">
              <w:rPr>
                <w:rFonts w:ascii="仿宋" w:eastAsia="仿宋" w:hAnsi="仿宋" w:cs="Microsoft JhengHei" w:hint="eastAsia"/>
                <w:szCs w:val="21"/>
              </w:rPr>
              <w:t>万元</w:t>
            </w:r>
            <w:r w:rsidR="00C754D0">
              <w:rPr>
                <w:rFonts w:ascii="仿宋" w:eastAsia="仿宋" w:hAnsi="仿宋" w:cs="Microsoft JhengHei" w:hint="eastAsia"/>
                <w:szCs w:val="21"/>
              </w:rPr>
              <w:t>（</w:t>
            </w:r>
            <w:r w:rsidR="005A4754">
              <w:rPr>
                <w:rFonts w:ascii="仿宋" w:eastAsia="仿宋" w:hAnsi="仿宋" w:cs="Microsoft JhengHei" w:hint="eastAsia"/>
                <w:szCs w:val="21"/>
              </w:rPr>
              <w:t>收费依据</w:t>
            </w:r>
            <w:r w:rsidR="00704595">
              <w:rPr>
                <w:rFonts w:ascii="仿宋" w:eastAsia="仿宋" w:hAnsi="仿宋" w:cs="Microsoft JhengHei" w:hint="eastAsia"/>
                <w:szCs w:val="21"/>
              </w:rPr>
              <w:t>参照</w:t>
            </w:r>
            <w:r w:rsidR="002C5C24" w:rsidRPr="002C5C24">
              <w:rPr>
                <w:rFonts w:ascii="仿宋" w:eastAsia="仿宋" w:hAnsi="仿宋" w:cs="Microsoft JhengHei" w:hint="eastAsia"/>
                <w:szCs w:val="21"/>
              </w:rPr>
              <w:t>上海</w:t>
            </w:r>
            <w:proofErr w:type="gramStart"/>
            <w:r w:rsidR="002C5C24" w:rsidRPr="002C5C24">
              <w:rPr>
                <w:rFonts w:ascii="仿宋" w:eastAsia="仿宋" w:hAnsi="仿宋" w:cs="Microsoft JhengHei" w:hint="eastAsia"/>
                <w:szCs w:val="21"/>
              </w:rPr>
              <w:t>疾控安全</w:t>
            </w:r>
            <w:proofErr w:type="gramEnd"/>
            <w:r w:rsidR="002C5C24" w:rsidRPr="002C5C24">
              <w:rPr>
                <w:rFonts w:ascii="仿宋" w:eastAsia="仿宋" w:hAnsi="仿宋" w:cs="Microsoft JhengHei" w:hint="eastAsia"/>
                <w:szCs w:val="21"/>
              </w:rPr>
              <w:t>健康保健评价中心建设项目职业病危害预评价、卫生</w:t>
            </w:r>
            <w:proofErr w:type="gramStart"/>
            <w:r w:rsidR="002C5C24" w:rsidRPr="002C5C24">
              <w:rPr>
                <w:rFonts w:ascii="仿宋" w:eastAsia="仿宋" w:hAnsi="仿宋" w:cs="Microsoft JhengHei" w:hint="eastAsia"/>
                <w:szCs w:val="21"/>
              </w:rPr>
              <w:t>预评价</w:t>
            </w:r>
            <w:proofErr w:type="gramEnd"/>
            <w:r w:rsidR="002C5C24" w:rsidRPr="002C5C24">
              <w:rPr>
                <w:rFonts w:ascii="仿宋" w:eastAsia="仿宋" w:hAnsi="仿宋" w:cs="Microsoft JhengHei" w:hint="eastAsia"/>
                <w:szCs w:val="21"/>
              </w:rPr>
              <w:t>收费标准（2005年）</w:t>
            </w:r>
            <w:r w:rsidR="00C754D0">
              <w:rPr>
                <w:rFonts w:ascii="仿宋" w:eastAsia="仿宋" w:hAnsi="仿宋" w:cs="Microsoft JhengHei" w:hint="eastAsia"/>
                <w:szCs w:val="21"/>
              </w:rPr>
              <w:t>）</w:t>
            </w:r>
          </w:p>
          <w:p w14:paraId="73C81DFE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1、工作内容：</w:t>
            </w:r>
          </w:p>
          <w:p w14:paraId="5F339E0B" w14:textId="033A8C95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（1）编制范围：</w:t>
            </w:r>
            <w:r w:rsidR="00704595" w:rsidRPr="00704595">
              <w:rPr>
                <w:rFonts w:ascii="仿宋" w:eastAsia="仿宋" w:hAnsi="仿宋" w:cs="Microsoft JhengHei" w:hint="eastAsia"/>
                <w:szCs w:val="21"/>
              </w:rPr>
              <w:t>集中空调通风系统设计</w:t>
            </w:r>
            <w:r w:rsidR="0017130C" w:rsidRPr="0017130C">
              <w:rPr>
                <w:rFonts w:ascii="仿宋" w:eastAsia="仿宋" w:hAnsi="仿宋" w:cs="Microsoft JhengHei" w:hint="eastAsia"/>
                <w:szCs w:val="21"/>
              </w:rPr>
              <w:t>卫生学预评价报告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5A43071A" w14:textId="397651EC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（2）质量标准：符合国家</w:t>
            </w:r>
            <w:r>
              <w:rPr>
                <w:rFonts w:ascii="仿宋" w:eastAsia="仿宋" w:hAnsi="仿宋" w:cs="Microsoft JhengHei" w:hint="eastAsia"/>
                <w:szCs w:val="21"/>
              </w:rPr>
              <w:t>及上海市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有关法律、法规和现行规定标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lastRenderedPageBreak/>
              <w:t>准，深度</w:t>
            </w:r>
            <w:proofErr w:type="gramStart"/>
            <w:r w:rsidRPr="003000EE">
              <w:rPr>
                <w:rFonts w:ascii="仿宋" w:eastAsia="仿宋" w:hAnsi="仿宋" w:cs="Microsoft JhengHei" w:hint="eastAsia"/>
                <w:szCs w:val="21"/>
              </w:rPr>
              <w:t>达规范</w:t>
            </w:r>
            <w:proofErr w:type="gramEnd"/>
            <w:r w:rsidRPr="003000EE">
              <w:rPr>
                <w:rFonts w:ascii="仿宋" w:eastAsia="仿宋" w:hAnsi="仿宋" w:cs="Microsoft JhengHei" w:hint="eastAsia"/>
                <w:szCs w:val="21"/>
              </w:rPr>
              <w:t>要求，并必须通过</w:t>
            </w:r>
            <w:r w:rsidR="00C754D0">
              <w:rPr>
                <w:rFonts w:ascii="仿宋" w:eastAsia="仿宋" w:hAnsi="仿宋" w:cs="Microsoft JhengHei" w:hint="eastAsia"/>
                <w:szCs w:val="21"/>
              </w:rPr>
              <w:t>相关</w:t>
            </w:r>
            <w:r w:rsidR="00CF57DD">
              <w:rPr>
                <w:rFonts w:ascii="仿宋" w:eastAsia="仿宋" w:hAnsi="仿宋" w:cs="Microsoft JhengHei" w:hint="eastAsia"/>
                <w:szCs w:val="21"/>
              </w:rPr>
              <w:t>管理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有关部门审查合格。</w:t>
            </w:r>
          </w:p>
          <w:p w14:paraId="58745AFE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（3）报告份数：提供报告的纸质版及电子版，报告份数以满足项目评审及学校存档需要为前提。</w:t>
            </w:r>
          </w:p>
          <w:p w14:paraId="02D3A75B" w14:textId="0E1CAF38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（4）需配合咨询报告评审工作，包括向</w:t>
            </w:r>
            <w:r w:rsidR="00CF57DD">
              <w:rPr>
                <w:rFonts w:ascii="仿宋" w:eastAsia="仿宋" w:hAnsi="仿宋" w:cs="Microsoft JhengHei" w:hint="eastAsia"/>
                <w:szCs w:val="21"/>
              </w:rPr>
              <w:t>相关委办局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及专家汇报报告编制情况并配合学校进行评审后资料的补充</w:t>
            </w:r>
            <w:r>
              <w:rPr>
                <w:rFonts w:ascii="仿宋" w:eastAsia="仿宋" w:hAnsi="仿宋" w:cs="Microsoft JhengHei" w:hint="eastAsia"/>
                <w:szCs w:val="21"/>
              </w:rPr>
              <w:t>及相关沟通协调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等工作。</w:t>
            </w:r>
          </w:p>
          <w:p w14:paraId="0CC802D0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2、报价依据</w:t>
            </w:r>
          </w:p>
          <w:p w14:paraId="7020943E" w14:textId="6B5D83F6" w:rsidR="003000EE" w:rsidRPr="00704595" w:rsidRDefault="003000EE" w:rsidP="007F2D88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报价</w:t>
            </w:r>
            <w:r w:rsidR="00704595">
              <w:rPr>
                <w:rFonts w:ascii="仿宋" w:eastAsia="仿宋" w:hAnsi="仿宋" w:cs="Microsoft JhengHei" w:hint="eastAsia"/>
                <w:szCs w:val="21"/>
              </w:rPr>
              <w:t>参照</w:t>
            </w:r>
            <w:r w:rsidR="002C5C24" w:rsidRPr="00704595">
              <w:rPr>
                <w:rFonts w:ascii="仿宋" w:eastAsia="仿宋" w:hAnsi="仿宋" w:cs="Microsoft JhengHei" w:hint="eastAsia"/>
                <w:szCs w:val="21"/>
              </w:rPr>
              <w:t>上海</w:t>
            </w:r>
            <w:proofErr w:type="gramStart"/>
            <w:r w:rsidR="002C5C24" w:rsidRPr="00704595">
              <w:rPr>
                <w:rFonts w:ascii="仿宋" w:eastAsia="仿宋" w:hAnsi="仿宋" w:cs="Microsoft JhengHei" w:hint="eastAsia"/>
                <w:szCs w:val="21"/>
              </w:rPr>
              <w:t>疾控安全</w:t>
            </w:r>
            <w:proofErr w:type="gramEnd"/>
            <w:r w:rsidR="002C5C24" w:rsidRPr="00704595">
              <w:rPr>
                <w:rFonts w:ascii="仿宋" w:eastAsia="仿宋" w:hAnsi="仿宋" w:cs="Microsoft JhengHei" w:hint="eastAsia"/>
                <w:szCs w:val="21"/>
              </w:rPr>
              <w:t>健康保健评价中心建设项目职业病危害预评价、卫生</w:t>
            </w:r>
            <w:proofErr w:type="gramStart"/>
            <w:r w:rsidR="002C5C24" w:rsidRPr="00704595">
              <w:rPr>
                <w:rFonts w:ascii="仿宋" w:eastAsia="仿宋" w:hAnsi="仿宋" w:cs="Microsoft JhengHei" w:hint="eastAsia"/>
                <w:szCs w:val="21"/>
              </w:rPr>
              <w:t>预评价</w:t>
            </w:r>
            <w:proofErr w:type="gramEnd"/>
            <w:r w:rsidR="002C5C24" w:rsidRPr="00704595">
              <w:rPr>
                <w:rFonts w:ascii="仿宋" w:eastAsia="仿宋" w:hAnsi="仿宋" w:cs="Microsoft JhengHei" w:hint="eastAsia"/>
                <w:szCs w:val="21"/>
              </w:rPr>
              <w:t>收费标准（2</w:t>
            </w:r>
            <w:r w:rsidR="002C5C24" w:rsidRPr="00704595">
              <w:rPr>
                <w:rFonts w:ascii="仿宋" w:eastAsia="仿宋" w:hAnsi="仿宋" w:cs="Microsoft JhengHei"/>
                <w:szCs w:val="21"/>
              </w:rPr>
              <w:t>005</w:t>
            </w:r>
            <w:r w:rsidR="002C5C24" w:rsidRPr="00704595">
              <w:rPr>
                <w:rFonts w:ascii="仿宋" w:eastAsia="仿宋" w:hAnsi="仿宋" w:cs="Microsoft JhengHei" w:hint="eastAsia"/>
                <w:szCs w:val="21"/>
              </w:rPr>
              <w:t>年）</w:t>
            </w:r>
            <w:r w:rsidRPr="00704595">
              <w:rPr>
                <w:rFonts w:ascii="仿宋" w:eastAsia="仿宋" w:hAnsi="仿宋" w:cs="Microsoft JhengHei" w:hint="eastAsia"/>
                <w:szCs w:val="21"/>
              </w:rPr>
              <w:t>报价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42B6BB15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三、项目服务时间要求</w:t>
            </w:r>
          </w:p>
          <w:p w14:paraId="7733F6EF" w14:textId="3D3BE66F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服务期限为中标单位必须于合同签订且收到编制所需完整资料后30天内完成</w:t>
            </w:r>
            <w:r w:rsidR="0017130C">
              <w:rPr>
                <w:rFonts w:ascii="仿宋" w:eastAsia="仿宋" w:hAnsi="仿宋" w:cs="Microsoft JhengHei" w:hint="eastAsia"/>
                <w:szCs w:val="21"/>
              </w:rPr>
              <w:t>项目</w:t>
            </w:r>
            <w:r w:rsidR="0017130C" w:rsidRPr="0017130C">
              <w:rPr>
                <w:rFonts w:ascii="仿宋" w:eastAsia="仿宋" w:hAnsi="仿宋" w:cs="Microsoft JhengHei" w:hint="eastAsia"/>
                <w:szCs w:val="21"/>
              </w:rPr>
              <w:t>卫生学预评价报告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编制，</w:t>
            </w:r>
            <w:r w:rsidR="00060DA2">
              <w:rPr>
                <w:rFonts w:ascii="仿宋" w:eastAsia="仿宋" w:hAnsi="仿宋" w:cs="Microsoft JhengHei" w:hint="eastAsia"/>
                <w:szCs w:val="21"/>
              </w:rPr>
              <w:t>项目</w:t>
            </w:r>
            <w:r w:rsidR="00704595">
              <w:rPr>
                <w:rFonts w:ascii="仿宋" w:eastAsia="仿宋" w:hAnsi="仿宋" w:cs="Microsoft JhengHei" w:hint="eastAsia"/>
                <w:szCs w:val="21"/>
              </w:rPr>
              <w:t>方案征询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批复前完成</w:t>
            </w:r>
            <w:r w:rsidR="002C5C24" w:rsidRPr="002C5C24">
              <w:rPr>
                <w:rFonts w:ascii="仿宋" w:eastAsia="仿宋" w:hAnsi="仿宋" w:cs="Microsoft JhengHei" w:hint="eastAsia"/>
                <w:szCs w:val="21"/>
              </w:rPr>
              <w:t>政府相关部门卫生学</w:t>
            </w:r>
            <w:proofErr w:type="gramStart"/>
            <w:r w:rsidR="002C5C24" w:rsidRPr="002C5C24">
              <w:rPr>
                <w:rFonts w:ascii="仿宋" w:eastAsia="仿宋" w:hAnsi="仿宋" w:cs="Microsoft JhengHei" w:hint="eastAsia"/>
                <w:szCs w:val="21"/>
              </w:rPr>
              <w:t>预评价</w:t>
            </w:r>
            <w:proofErr w:type="gramEnd"/>
            <w:r w:rsidR="003D24F4">
              <w:rPr>
                <w:rFonts w:ascii="仿宋" w:eastAsia="仿宋" w:hAnsi="仿宋" w:cs="Microsoft JhengHei" w:hint="eastAsia"/>
                <w:szCs w:val="21"/>
              </w:rPr>
              <w:t>审查</w:t>
            </w:r>
            <w:r w:rsidR="002C5C24" w:rsidRPr="002C5C24">
              <w:rPr>
                <w:rFonts w:ascii="仿宋" w:eastAsia="仿宋" w:hAnsi="仿宋" w:cs="Microsoft JhengHei" w:hint="eastAsia"/>
                <w:szCs w:val="21"/>
              </w:rPr>
              <w:t>意见</w:t>
            </w:r>
            <w:r w:rsidR="002C5C24">
              <w:rPr>
                <w:rFonts w:ascii="仿宋" w:eastAsia="仿宋" w:hAnsi="仿宋" w:cs="Microsoft JhengHei" w:hint="eastAsia"/>
                <w:szCs w:val="21"/>
              </w:rPr>
              <w:t>，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服务期限</w:t>
            </w:r>
            <w:proofErr w:type="gramStart"/>
            <w:r w:rsidRPr="003000EE">
              <w:rPr>
                <w:rFonts w:ascii="仿宋" w:eastAsia="仿宋" w:hAnsi="仿宋" w:cs="Microsoft JhengHei" w:hint="eastAsia"/>
                <w:szCs w:val="21"/>
              </w:rPr>
              <w:t>至取得</w:t>
            </w:r>
            <w:proofErr w:type="gramEnd"/>
            <w:r>
              <w:rPr>
                <w:rFonts w:ascii="仿宋" w:eastAsia="仿宋" w:hAnsi="仿宋" w:cs="Microsoft JhengHei" w:hint="eastAsia"/>
                <w:szCs w:val="21"/>
              </w:rPr>
              <w:t>本</w:t>
            </w:r>
            <w:proofErr w:type="gramStart"/>
            <w:r w:rsidR="00C754D0">
              <w:rPr>
                <w:rFonts w:ascii="仿宋" w:eastAsia="仿宋" w:hAnsi="仿宋" w:cs="Microsoft JhengHei" w:hint="eastAsia"/>
                <w:szCs w:val="21"/>
              </w:rPr>
              <w:t>项目</w:t>
            </w:r>
            <w:r w:rsidR="00704595">
              <w:rPr>
                <w:rFonts w:ascii="仿宋" w:eastAsia="仿宋" w:hAnsi="仿宋" w:cs="Microsoft JhengHei" w:hint="eastAsia"/>
                <w:szCs w:val="21"/>
              </w:rPr>
              <w:t>项目</w:t>
            </w:r>
            <w:proofErr w:type="gramEnd"/>
            <w:r w:rsidR="00704595">
              <w:rPr>
                <w:rFonts w:ascii="仿宋" w:eastAsia="仿宋" w:hAnsi="仿宋" w:cs="Microsoft JhengHei" w:hint="eastAsia"/>
                <w:szCs w:val="21"/>
              </w:rPr>
              <w:t>方案征询批复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1F9514A7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四、质量标准及验收</w:t>
            </w:r>
          </w:p>
          <w:p w14:paraId="35461ED0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符合国家及上海市有关规定。</w:t>
            </w:r>
          </w:p>
          <w:p w14:paraId="5E18EABA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五、付款方式</w:t>
            </w:r>
          </w:p>
          <w:p w14:paraId="7CF1C140" w14:textId="4B3B5E11" w:rsidR="003000EE" w:rsidRPr="003000EE" w:rsidRDefault="002C5C24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>
              <w:rPr>
                <w:rFonts w:ascii="仿宋" w:eastAsia="仿宋" w:hAnsi="仿宋" w:cs="Microsoft JhengHei" w:hint="eastAsia"/>
                <w:szCs w:val="21"/>
              </w:rPr>
              <w:t>取得卫生学</w:t>
            </w:r>
            <w:proofErr w:type="gramStart"/>
            <w:r>
              <w:rPr>
                <w:rFonts w:ascii="仿宋" w:eastAsia="仿宋" w:hAnsi="仿宋" w:cs="Microsoft JhengHei" w:hint="eastAsia"/>
                <w:szCs w:val="21"/>
              </w:rPr>
              <w:t>预评价</w:t>
            </w:r>
            <w:proofErr w:type="gramEnd"/>
            <w:r>
              <w:rPr>
                <w:rFonts w:ascii="仿宋" w:eastAsia="仿宋" w:hAnsi="仿宋" w:cs="Microsoft JhengHei" w:hint="eastAsia"/>
                <w:szCs w:val="21"/>
              </w:rPr>
              <w:t>审查意见后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（以上级批复文件正式下达为准），</w:t>
            </w:r>
            <w:r>
              <w:rPr>
                <w:rFonts w:ascii="仿宋" w:eastAsia="仿宋" w:hAnsi="仿宋" w:cs="Microsoft JhengHei" w:hint="eastAsia"/>
                <w:szCs w:val="21"/>
              </w:rPr>
              <w:t>且市财力资金到位后，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招标人凭中标人开具的正式发票，30天内支付合同</w:t>
            </w:r>
            <w:r w:rsidR="003000EE">
              <w:rPr>
                <w:rFonts w:ascii="仿宋" w:eastAsia="仿宋" w:hAnsi="仿宋" w:cs="Microsoft JhengHei" w:hint="eastAsia"/>
                <w:szCs w:val="21"/>
              </w:rPr>
              <w:t>价款</w:t>
            </w:r>
            <w:r w:rsidR="003000EE" w:rsidRPr="003000EE">
              <w:rPr>
                <w:rFonts w:ascii="仿宋" w:eastAsia="仿宋" w:hAnsi="仿宋" w:cs="Microsoft JhengHei" w:hint="eastAsia"/>
                <w:szCs w:val="21"/>
              </w:rPr>
              <w:t>。</w:t>
            </w:r>
          </w:p>
          <w:p w14:paraId="618FB2BA" w14:textId="000E9310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本项目服务费总价应包括全部咨询服务的工资薪酬、差旅费、交通费、通讯费、资料费、</w:t>
            </w:r>
            <w:r w:rsidR="00CF57DD">
              <w:rPr>
                <w:rFonts w:ascii="仿宋" w:eastAsia="仿宋" w:hAnsi="仿宋" w:cs="Microsoft JhengHei" w:hint="eastAsia"/>
                <w:szCs w:val="21"/>
              </w:rPr>
              <w:t>专家评审费、</w:t>
            </w:r>
            <w:r w:rsidRPr="003000EE">
              <w:rPr>
                <w:rFonts w:ascii="仿宋" w:eastAsia="仿宋" w:hAnsi="仿宋" w:cs="Microsoft JhengHei" w:hint="eastAsia"/>
                <w:szCs w:val="21"/>
              </w:rPr>
              <w:t>管理费、利润、税金、保险等所有费用。</w:t>
            </w:r>
          </w:p>
          <w:p w14:paraId="60C87AC9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六、成果权属</w:t>
            </w:r>
          </w:p>
          <w:p w14:paraId="061B5C78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成交供应商应对项目实施过程中收集的资料、过程性工作内容和最终成果保密。最终成果（包括中期报告及最终工作成果）权属归采购人所有。未经采购人允许，成交供应商不得对外发布、公开或向第三方提供项目成果。</w:t>
            </w:r>
          </w:p>
          <w:p w14:paraId="62B72D33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2"/>
              <w:rPr>
                <w:rFonts w:ascii="仿宋" w:eastAsia="仿宋" w:hAnsi="仿宋" w:cs="Microsoft JhengHei"/>
                <w:b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b/>
                <w:szCs w:val="21"/>
              </w:rPr>
              <w:t>七、相关说明</w:t>
            </w:r>
          </w:p>
          <w:p w14:paraId="284DF3EA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lastRenderedPageBreak/>
              <w:t>1.成交供应商应充分了解本项目需求，提供完整的项目服务方案。</w:t>
            </w:r>
          </w:p>
          <w:p w14:paraId="5193318C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2.成交供应商不得将服务内容转包或分包，一经发现，采购人有权终止协议，因此造成的一切经济损失和负面社会影响，由供应商负责承担。</w:t>
            </w:r>
          </w:p>
          <w:p w14:paraId="16E0A406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3.成交供应商在签订合同时，不得提出附加条件和不合理要求，否则将取消其成交资格。</w:t>
            </w:r>
          </w:p>
          <w:p w14:paraId="43013DB1" w14:textId="77777777" w:rsidR="003000EE" w:rsidRPr="003000EE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4.成交供应商应严格按照已确认的工作方案和流程实施项目，无条件接受采购人对其工作质量的监督检查。</w:t>
            </w:r>
          </w:p>
          <w:p w14:paraId="21A87C08" w14:textId="77777777" w:rsidR="00001223" w:rsidRPr="00CE2381" w:rsidRDefault="003000EE" w:rsidP="003000EE">
            <w:pPr>
              <w:spacing w:before="47" w:line="360" w:lineRule="auto"/>
              <w:ind w:leftChars="400" w:left="840" w:right="139" w:firstLineChars="200" w:firstLine="420"/>
              <w:rPr>
                <w:rFonts w:ascii="仿宋" w:eastAsia="仿宋" w:hAnsi="仿宋" w:cs="Microsoft JhengHei"/>
                <w:szCs w:val="21"/>
              </w:rPr>
            </w:pPr>
            <w:r w:rsidRPr="003000EE">
              <w:rPr>
                <w:rFonts w:ascii="仿宋" w:eastAsia="仿宋" w:hAnsi="仿宋" w:cs="Microsoft JhengHei" w:hint="eastAsia"/>
                <w:szCs w:val="21"/>
              </w:rPr>
              <w:t>5.成交供应商所提供服务的质量标准按照国家标准、行业标准或采购人指定标准确定，上述标准不一致的，以严格的或最新的标准为准。无国家标准、行业标准的，按照常用标准或者符合合同目的的特定标准确定。</w:t>
            </w:r>
          </w:p>
        </w:tc>
      </w:tr>
    </w:tbl>
    <w:p w14:paraId="54216B46" w14:textId="77777777" w:rsidR="001B0C63" w:rsidRPr="00A149C8" w:rsidRDefault="001B0C63" w:rsidP="00232149">
      <w:pPr>
        <w:jc w:val="left"/>
        <w:rPr>
          <w:rFonts w:ascii="Times New Roman" w:hAnsi="Times New Roman"/>
          <w:b/>
          <w:sz w:val="24"/>
          <w:szCs w:val="24"/>
        </w:rPr>
      </w:pPr>
    </w:p>
    <w:sectPr w:rsidR="001B0C63" w:rsidRPr="00A149C8" w:rsidSect="005D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8C1B" w14:textId="77777777" w:rsidR="00715C6A" w:rsidRDefault="00715C6A">
      <w:r>
        <w:separator/>
      </w:r>
    </w:p>
  </w:endnote>
  <w:endnote w:type="continuationSeparator" w:id="0">
    <w:p w14:paraId="7A2692F7" w14:textId="77777777" w:rsidR="00715C6A" w:rsidRDefault="0071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2CFDD" w14:textId="77777777" w:rsidR="00715C6A" w:rsidRDefault="00715C6A">
      <w:r>
        <w:separator/>
      </w:r>
    </w:p>
  </w:footnote>
  <w:footnote w:type="continuationSeparator" w:id="0">
    <w:p w14:paraId="10AB13C8" w14:textId="77777777" w:rsidR="00715C6A" w:rsidRDefault="00715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0037"/>
    <w:multiLevelType w:val="hybridMultilevel"/>
    <w:tmpl w:val="8214B1FE"/>
    <w:lvl w:ilvl="0" w:tplc="D6F03C38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48470F6"/>
    <w:multiLevelType w:val="hybridMultilevel"/>
    <w:tmpl w:val="C5004E2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236E5FEB"/>
    <w:multiLevelType w:val="hybridMultilevel"/>
    <w:tmpl w:val="ED02F4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3982729A"/>
    <w:multiLevelType w:val="hybridMultilevel"/>
    <w:tmpl w:val="7DB03D9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40FB2C88"/>
    <w:multiLevelType w:val="hybridMultilevel"/>
    <w:tmpl w:val="94E6B53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44827565"/>
    <w:multiLevelType w:val="hybridMultilevel"/>
    <w:tmpl w:val="B0A08228"/>
    <w:lvl w:ilvl="0" w:tplc="E862AE0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2CA5EAC"/>
    <w:multiLevelType w:val="hybridMultilevel"/>
    <w:tmpl w:val="9300FFA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5F2F6A62"/>
    <w:multiLevelType w:val="hybridMultilevel"/>
    <w:tmpl w:val="963269B2"/>
    <w:lvl w:ilvl="0" w:tplc="05FE3F9C">
      <w:start w:val="1"/>
      <w:numFmt w:val="decimal"/>
      <w:lvlText w:val="%1、"/>
      <w:lvlJc w:val="left"/>
      <w:pPr>
        <w:ind w:left="390" w:hanging="39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 w15:restartNumberingAfterBreak="0">
    <w:nsid w:val="60710BCF"/>
    <w:multiLevelType w:val="hybridMultilevel"/>
    <w:tmpl w:val="6262DB2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60F2628D"/>
    <w:multiLevelType w:val="hybridMultilevel"/>
    <w:tmpl w:val="0A6C456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 w15:restartNumberingAfterBreak="0">
    <w:nsid w:val="6B33558D"/>
    <w:multiLevelType w:val="hybridMultilevel"/>
    <w:tmpl w:val="55C00AD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 w15:restartNumberingAfterBreak="0">
    <w:nsid w:val="7072284C"/>
    <w:multiLevelType w:val="hybridMultilevel"/>
    <w:tmpl w:val="60A2A4F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322203263">
    <w:abstractNumId w:val="0"/>
  </w:num>
  <w:num w:numId="2" w16cid:durableId="1666014623">
    <w:abstractNumId w:val="5"/>
  </w:num>
  <w:num w:numId="3" w16cid:durableId="940996048">
    <w:abstractNumId w:val="7"/>
  </w:num>
  <w:num w:numId="4" w16cid:durableId="902373423">
    <w:abstractNumId w:val="2"/>
  </w:num>
  <w:num w:numId="5" w16cid:durableId="1259823941">
    <w:abstractNumId w:val="4"/>
  </w:num>
  <w:num w:numId="6" w16cid:durableId="509638271">
    <w:abstractNumId w:val="6"/>
  </w:num>
  <w:num w:numId="7" w16cid:durableId="1305306480">
    <w:abstractNumId w:val="11"/>
  </w:num>
  <w:num w:numId="8" w16cid:durableId="1758819975">
    <w:abstractNumId w:val="10"/>
  </w:num>
  <w:num w:numId="9" w16cid:durableId="371075062">
    <w:abstractNumId w:val="9"/>
  </w:num>
  <w:num w:numId="10" w16cid:durableId="1617521213">
    <w:abstractNumId w:val="1"/>
  </w:num>
  <w:num w:numId="11" w16cid:durableId="1181775054">
    <w:abstractNumId w:val="8"/>
  </w:num>
  <w:num w:numId="12" w16cid:durableId="1488591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481"/>
    <w:rsid w:val="00001223"/>
    <w:rsid w:val="00034399"/>
    <w:rsid w:val="000379B1"/>
    <w:rsid w:val="00060DA2"/>
    <w:rsid w:val="00072151"/>
    <w:rsid w:val="000761D3"/>
    <w:rsid w:val="000768BD"/>
    <w:rsid w:val="00090EA8"/>
    <w:rsid w:val="00097615"/>
    <w:rsid w:val="000D7F83"/>
    <w:rsid w:val="00135509"/>
    <w:rsid w:val="0017130C"/>
    <w:rsid w:val="00176401"/>
    <w:rsid w:val="001961A1"/>
    <w:rsid w:val="001B0C63"/>
    <w:rsid w:val="001F199A"/>
    <w:rsid w:val="002241F1"/>
    <w:rsid w:val="00232149"/>
    <w:rsid w:val="00236873"/>
    <w:rsid w:val="002570FB"/>
    <w:rsid w:val="00261D20"/>
    <w:rsid w:val="00280229"/>
    <w:rsid w:val="002C5C24"/>
    <w:rsid w:val="002C7809"/>
    <w:rsid w:val="002D42A4"/>
    <w:rsid w:val="003000EE"/>
    <w:rsid w:val="00303418"/>
    <w:rsid w:val="00305B37"/>
    <w:rsid w:val="003D24F4"/>
    <w:rsid w:val="0041623C"/>
    <w:rsid w:val="0042161F"/>
    <w:rsid w:val="00462002"/>
    <w:rsid w:val="00494AFC"/>
    <w:rsid w:val="004A446F"/>
    <w:rsid w:val="004D0511"/>
    <w:rsid w:val="004E795D"/>
    <w:rsid w:val="00535217"/>
    <w:rsid w:val="005672DA"/>
    <w:rsid w:val="0058694B"/>
    <w:rsid w:val="005A4754"/>
    <w:rsid w:val="005A54B2"/>
    <w:rsid w:val="005B75FD"/>
    <w:rsid w:val="005C219F"/>
    <w:rsid w:val="005C7A75"/>
    <w:rsid w:val="005D2481"/>
    <w:rsid w:val="005F1A02"/>
    <w:rsid w:val="0063277E"/>
    <w:rsid w:val="00662E36"/>
    <w:rsid w:val="00675673"/>
    <w:rsid w:val="006F1A53"/>
    <w:rsid w:val="00704595"/>
    <w:rsid w:val="00715C6A"/>
    <w:rsid w:val="007A57F9"/>
    <w:rsid w:val="007F2D88"/>
    <w:rsid w:val="00824595"/>
    <w:rsid w:val="008F0C79"/>
    <w:rsid w:val="00904577"/>
    <w:rsid w:val="0092206B"/>
    <w:rsid w:val="009C7C7F"/>
    <w:rsid w:val="009D7B77"/>
    <w:rsid w:val="00A149C8"/>
    <w:rsid w:val="00A50089"/>
    <w:rsid w:val="00A51E98"/>
    <w:rsid w:val="00AA2294"/>
    <w:rsid w:val="00AB386C"/>
    <w:rsid w:val="00AB4C4D"/>
    <w:rsid w:val="00AD7D52"/>
    <w:rsid w:val="00B04819"/>
    <w:rsid w:val="00B310E4"/>
    <w:rsid w:val="00B41B4F"/>
    <w:rsid w:val="00B4726B"/>
    <w:rsid w:val="00B738CE"/>
    <w:rsid w:val="00B87730"/>
    <w:rsid w:val="00C31B52"/>
    <w:rsid w:val="00C328A5"/>
    <w:rsid w:val="00C33BFE"/>
    <w:rsid w:val="00C554DD"/>
    <w:rsid w:val="00C754D0"/>
    <w:rsid w:val="00C7738A"/>
    <w:rsid w:val="00C9509F"/>
    <w:rsid w:val="00CA4E34"/>
    <w:rsid w:val="00CB18FE"/>
    <w:rsid w:val="00CE2381"/>
    <w:rsid w:val="00CF34CD"/>
    <w:rsid w:val="00CF57DD"/>
    <w:rsid w:val="00D61E79"/>
    <w:rsid w:val="00D83A69"/>
    <w:rsid w:val="00DC6F2B"/>
    <w:rsid w:val="00DD7888"/>
    <w:rsid w:val="00DE456D"/>
    <w:rsid w:val="00DF522F"/>
    <w:rsid w:val="00E172AA"/>
    <w:rsid w:val="00E25FDD"/>
    <w:rsid w:val="00E451D7"/>
    <w:rsid w:val="00EA6547"/>
    <w:rsid w:val="00EC64A8"/>
    <w:rsid w:val="00ED3E52"/>
    <w:rsid w:val="00F14837"/>
    <w:rsid w:val="00F21359"/>
    <w:rsid w:val="00F41464"/>
    <w:rsid w:val="00F525B0"/>
    <w:rsid w:val="00F5492D"/>
    <w:rsid w:val="00F63779"/>
    <w:rsid w:val="00F76499"/>
    <w:rsid w:val="00F96E63"/>
    <w:rsid w:val="00FC5FCC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3C0CEB"/>
  <w15:docId w15:val="{2753326E-39C2-4E5B-9630-0CD2AAF7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248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D2481"/>
    <w:pPr>
      <w:ind w:firstLineChars="200" w:firstLine="420"/>
    </w:pPr>
  </w:style>
  <w:style w:type="character" w:styleId="a3">
    <w:name w:val="Hyperlink"/>
    <w:rsid w:val="005D2481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rsid w:val="005D24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link w:val="HTML"/>
    <w:locked/>
    <w:rsid w:val="005D2481"/>
    <w:rPr>
      <w:rFonts w:ascii="宋体" w:eastAsia="宋体" w:hAnsi="宋体" w:cs="宋体"/>
      <w:sz w:val="24"/>
      <w:szCs w:val="24"/>
      <w:lang w:val="en-US" w:eastAsia="zh-CN" w:bidi="ar-SA"/>
    </w:rPr>
  </w:style>
  <w:style w:type="paragraph" w:styleId="a4">
    <w:name w:val="Balloon Text"/>
    <w:basedOn w:val="a"/>
    <w:link w:val="a5"/>
    <w:semiHidden/>
    <w:rsid w:val="005D2481"/>
    <w:rPr>
      <w:sz w:val="18"/>
      <w:szCs w:val="18"/>
    </w:rPr>
  </w:style>
  <w:style w:type="character" w:customStyle="1" w:styleId="a5">
    <w:name w:val="批注框文本 字符"/>
    <w:link w:val="a4"/>
    <w:semiHidden/>
    <w:locked/>
    <w:rsid w:val="005D2481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6">
    <w:name w:val="header"/>
    <w:basedOn w:val="a"/>
    <w:link w:val="a7"/>
    <w:semiHidden/>
    <w:rsid w:val="005D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semiHidden/>
    <w:locked/>
    <w:rsid w:val="005D2481"/>
    <w:rPr>
      <w:rFonts w:ascii="Calibri" w:eastAsia="宋体" w:hAnsi="Calibri"/>
      <w:kern w:val="2"/>
      <w:sz w:val="18"/>
      <w:szCs w:val="18"/>
      <w:lang w:val="en-US" w:eastAsia="zh-CN" w:bidi="ar-SA"/>
    </w:rPr>
  </w:style>
  <w:style w:type="paragraph" w:styleId="a8">
    <w:name w:val="footer"/>
    <w:basedOn w:val="a"/>
    <w:link w:val="a9"/>
    <w:semiHidden/>
    <w:rsid w:val="005D2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semiHidden/>
    <w:locked/>
    <w:rsid w:val="005D2481"/>
    <w:rPr>
      <w:rFonts w:ascii="Calibri" w:eastAsia="宋体" w:hAnsi="Calibri"/>
      <w:kern w:val="2"/>
      <w:sz w:val="18"/>
      <w:szCs w:val="18"/>
      <w:lang w:val="en-US" w:eastAsia="zh-CN" w:bidi="ar-SA"/>
    </w:rPr>
  </w:style>
  <w:style w:type="table" w:styleId="aa">
    <w:name w:val="Table Grid"/>
    <w:basedOn w:val="a1"/>
    <w:rsid w:val="001B0C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semiHidden/>
    <w:unhideWhenUsed/>
    <w:rsid w:val="007F2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上海电力学院委托  招标公司招标项目书（样本）</dc:title>
  <dc:creator>huicong</dc:creator>
  <cp:lastModifiedBy>sl</cp:lastModifiedBy>
  <cp:revision>3</cp:revision>
  <dcterms:created xsi:type="dcterms:W3CDTF">2023-09-01T15:16:00Z</dcterms:created>
  <dcterms:modified xsi:type="dcterms:W3CDTF">2023-09-01T15:19:00Z</dcterms:modified>
</cp:coreProperties>
</file>